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B30D" w14:textId="77777777" w:rsidR="003406CE" w:rsidRPr="009B5847" w:rsidRDefault="003406CE" w:rsidP="003406CE">
      <w:pPr>
        <w:jc w:val="center"/>
        <w:rPr>
          <w:rFonts w:ascii="Times New Roman" w:hAnsi="Times New Roman" w:cs="Times New Roman"/>
          <w:b/>
          <w:sz w:val="24"/>
          <w:szCs w:val="24"/>
        </w:rPr>
      </w:pPr>
      <w:r w:rsidRPr="009B5847">
        <w:rPr>
          <w:rFonts w:ascii="Times New Roman" w:hAnsi="Times New Roman" w:cs="Times New Roman"/>
          <w:b/>
          <w:sz w:val="24"/>
          <w:szCs w:val="24"/>
        </w:rPr>
        <w:t>Podmienky ochrany súkromia</w:t>
      </w:r>
    </w:p>
    <w:p w14:paraId="23D3B7FD" w14:textId="226EED4D"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Ochrana osobných údajov našich klientov a iných fyzických osôb je pre nás dôležitá. Tieto podmienky vysvetľujú akým spôsobom spracúvame pri poskytovaní právnych služieb osobné údaje v rámci advokátskej kancelárie </w:t>
      </w:r>
      <w:r w:rsidR="00983F16">
        <w:rPr>
          <w:rFonts w:ascii="Times New Roman" w:hAnsi="Times New Roman" w:cs="Times New Roman"/>
          <w:sz w:val="24"/>
          <w:szCs w:val="24"/>
        </w:rPr>
        <w:t>JUDr</w:t>
      </w:r>
      <w:r w:rsidR="000E678F" w:rsidRPr="009B5847">
        <w:rPr>
          <w:rFonts w:ascii="Times New Roman" w:hAnsi="Times New Roman" w:cs="Times New Roman"/>
          <w:sz w:val="24"/>
          <w:szCs w:val="24"/>
        </w:rPr>
        <w:t>. Jaroslavy Cablkovej, advokátky</w:t>
      </w:r>
      <w:r w:rsidRPr="009B5847">
        <w:rPr>
          <w:rFonts w:ascii="Times New Roman" w:hAnsi="Times New Roman" w:cs="Times New Roman"/>
          <w:sz w:val="24"/>
          <w:szCs w:val="24"/>
        </w:rPr>
        <w:t xml:space="preserve">, so sídlom: </w:t>
      </w:r>
      <w:r w:rsidR="00983F16">
        <w:rPr>
          <w:rFonts w:ascii="Times New Roman" w:hAnsi="Times New Roman" w:cs="Times New Roman"/>
          <w:sz w:val="24"/>
          <w:szCs w:val="24"/>
        </w:rPr>
        <w:t>Námestie Oslobodenia 8</w:t>
      </w:r>
      <w:r w:rsidR="000E678F" w:rsidRPr="009B5847">
        <w:rPr>
          <w:rFonts w:ascii="Times New Roman" w:hAnsi="Times New Roman" w:cs="Times New Roman"/>
          <w:sz w:val="24"/>
          <w:szCs w:val="24"/>
        </w:rPr>
        <w:t>, 905 01 Senica</w:t>
      </w:r>
      <w:r w:rsidRPr="009B5847">
        <w:rPr>
          <w:rFonts w:ascii="Times New Roman" w:hAnsi="Times New Roman" w:cs="Times New Roman"/>
          <w:sz w:val="24"/>
          <w:szCs w:val="24"/>
        </w:rPr>
        <w:t xml:space="preserve">, IČO: </w:t>
      </w:r>
      <w:r w:rsidR="00E97952" w:rsidRPr="00E97952">
        <w:rPr>
          <w:rFonts w:ascii="Times New Roman" w:hAnsi="Times New Roman" w:cs="Times New Roman"/>
          <w:sz w:val="24"/>
          <w:szCs w:val="24"/>
        </w:rPr>
        <w:t>52 405 486</w:t>
      </w:r>
      <w:r w:rsidRPr="009B5847">
        <w:rPr>
          <w:rFonts w:ascii="Times New Roman" w:hAnsi="Times New Roman" w:cs="Times New Roman"/>
          <w:sz w:val="24"/>
          <w:szCs w:val="24"/>
        </w:rPr>
        <w:t xml:space="preserve"> (ďalej len „My“). Ak máte akékoľvek otázky, môžete náš kontaktovať telefonicky na </w:t>
      </w:r>
      <w:r w:rsidR="000E678F" w:rsidRPr="009B5847">
        <w:rPr>
          <w:rFonts w:ascii="Times New Roman" w:hAnsi="Times New Roman" w:cs="Times New Roman"/>
          <w:sz w:val="24"/>
          <w:szCs w:val="24"/>
        </w:rPr>
        <w:t>telefónnom čísle 0948 300 085</w:t>
      </w:r>
      <w:r w:rsidRPr="009B5847">
        <w:rPr>
          <w:rFonts w:ascii="Times New Roman" w:hAnsi="Times New Roman" w:cs="Times New Roman"/>
          <w:sz w:val="24"/>
          <w:szCs w:val="24"/>
        </w:rPr>
        <w:t xml:space="preserve">, e-mailom na </w:t>
      </w:r>
      <w:r w:rsidR="000E678F" w:rsidRPr="009B5847">
        <w:rPr>
          <w:rFonts w:ascii="Times New Roman" w:hAnsi="Times New Roman" w:cs="Times New Roman"/>
          <w:sz w:val="24"/>
          <w:szCs w:val="24"/>
        </w:rPr>
        <w:t>cablkova.jaroslava@gmail.com,</w:t>
      </w:r>
      <w:r w:rsidRPr="009B5847">
        <w:rPr>
          <w:rFonts w:ascii="Times New Roman" w:hAnsi="Times New Roman" w:cs="Times New Roman"/>
          <w:sz w:val="24"/>
          <w:szCs w:val="24"/>
        </w:rPr>
        <w:t xml:space="preserve"> alebo poštou na adresu nášho sídla. </w:t>
      </w:r>
    </w:p>
    <w:p w14:paraId="0C463C94"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Pri spracúvaní osobných údajov sa riadime primárne všeobecným nariadením EÚ o ochrane osobných údajov (“</w:t>
      </w:r>
      <w:r w:rsidRPr="009B5847">
        <w:rPr>
          <w:rFonts w:ascii="Times New Roman" w:hAnsi="Times New Roman" w:cs="Times New Roman"/>
          <w:b/>
          <w:sz w:val="24"/>
          <w:szCs w:val="24"/>
        </w:rPr>
        <w:t>GDPR</w:t>
      </w:r>
      <w:r w:rsidRPr="009B5847">
        <w:rPr>
          <w:rFonts w:ascii="Times New Roman" w:hAnsi="Times New Roman" w:cs="Times New Roman"/>
          <w:sz w:val="24"/>
          <w:szCs w:val="24"/>
        </w:rPr>
        <w:t>”), ktoré upravuje aj Vaše práva ako dotknutej osoby,</w:t>
      </w:r>
      <w:r w:rsidRPr="009B5847">
        <w:rPr>
          <w:rStyle w:val="Znakapoznpodarou"/>
          <w:rFonts w:ascii="Times New Roman" w:hAnsi="Times New Roman" w:cs="Times New Roman"/>
          <w:sz w:val="24"/>
          <w:szCs w:val="24"/>
        </w:rPr>
        <w:footnoteReference w:id="1"/>
      </w:r>
      <w:r w:rsidRPr="009B5847">
        <w:rPr>
          <w:rFonts w:ascii="Times New Roman" w:hAnsi="Times New Roman" w:cs="Times New Roman"/>
          <w:sz w:val="24"/>
          <w:szCs w:val="24"/>
        </w:rPr>
        <w:t xml:space="preserve"> tými ustanoveniami Zákona o ochrane osobných údajov, ktoré sa na nás vzťahujú (najmä § 78), Zákonom o advokácií (§ 18) ako aj ďalšími predpismi. Dodržiavame Kódex správania prijatý Slovenskou advokátskou komorou (“</w:t>
      </w:r>
      <w:r w:rsidRPr="009B5847">
        <w:rPr>
          <w:rFonts w:ascii="Times New Roman" w:hAnsi="Times New Roman" w:cs="Times New Roman"/>
          <w:b/>
          <w:sz w:val="24"/>
          <w:szCs w:val="24"/>
        </w:rPr>
        <w:t>SAK</w:t>
      </w:r>
      <w:r w:rsidRPr="009B5847">
        <w:rPr>
          <w:rFonts w:ascii="Times New Roman" w:hAnsi="Times New Roman" w:cs="Times New Roman"/>
          <w:sz w:val="24"/>
          <w:szCs w:val="24"/>
        </w:rPr>
        <w:t xml:space="preserve">”), ktorý bližšie vysvetľuje spracúvanie osobných údajov advokátmi. S Kódexom správania SAK sa môžete oboznámiť na </w:t>
      </w:r>
      <w:r w:rsidR="000E678F" w:rsidRPr="009B5847">
        <w:rPr>
          <w:rFonts w:ascii="Times New Roman" w:hAnsi="Times New Roman" w:cs="Times New Roman"/>
          <w:sz w:val="24"/>
          <w:szCs w:val="24"/>
        </w:rPr>
        <w:t>www.sak.sk</w:t>
      </w:r>
      <w:r w:rsidRPr="009B5847">
        <w:rPr>
          <w:rFonts w:ascii="Times New Roman" w:hAnsi="Times New Roman" w:cs="Times New Roman"/>
          <w:sz w:val="24"/>
          <w:szCs w:val="24"/>
        </w:rPr>
        <w:t xml:space="preserve">.   </w:t>
      </w:r>
    </w:p>
    <w:p w14:paraId="7D8EC12B"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Prečo spracúvame osobné údaje? </w:t>
      </w:r>
    </w:p>
    <w:p w14:paraId="689592CB"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Spracúvanie osobných údajov je z našej strany nevyhnutné najmä preto, aby sme mohli: </w:t>
      </w:r>
    </w:p>
    <w:p w14:paraId="4D2D5F78" w14:textId="77777777" w:rsidR="003406CE" w:rsidRPr="009B5847" w:rsidRDefault="003406CE" w:rsidP="003406CE">
      <w:pPr>
        <w:pStyle w:val="Odstavecseseznamem"/>
        <w:numPr>
          <w:ilvl w:val="0"/>
          <w:numId w:val="1"/>
        </w:numPr>
        <w:ind w:left="567" w:hanging="567"/>
        <w:jc w:val="both"/>
        <w:rPr>
          <w:rFonts w:ascii="Times New Roman" w:hAnsi="Times New Roman" w:cs="Times New Roman"/>
          <w:sz w:val="24"/>
          <w:szCs w:val="24"/>
        </w:rPr>
      </w:pPr>
      <w:r w:rsidRPr="009B5847">
        <w:rPr>
          <w:rFonts w:ascii="Times New Roman" w:hAnsi="Times New Roman" w:cs="Times New Roman"/>
          <w:sz w:val="24"/>
          <w:szCs w:val="24"/>
        </w:rPr>
        <w:t>poskytovať právne služby našim klientom a vykonávať advokátske povolanie;</w:t>
      </w:r>
    </w:p>
    <w:p w14:paraId="60B463BF" w14:textId="77777777" w:rsidR="003406CE" w:rsidRPr="009B5847" w:rsidRDefault="003406CE" w:rsidP="003406CE">
      <w:pPr>
        <w:pStyle w:val="Odstavecseseznamem"/>
        <w:numPr>
          <w:ilvl w:val="0"/>
          <w:numId w:val="1"/>
        </w:numPr>
        <w:ind w:left="567" w:hanging="567"/>
        <w:jc w:val="both"/>
        <w:rPr>
          <w:rFonts w:ascii="Times New Roman" w:hAnsi="Times New Roman" w:cs="Times New Roman"/>
          <w:sz w:val="24"/>
          <w:szCs w:val="24"/>
        </w:rPr>
      </w:pPr>
      <w:r w:rsidRPr="009B5847">
        <w:rPr>
          <w:rFonts w:ascii="Times New Roman" w:hAnsi="Times New Roman" w:cs="Times New Roman"/>
          <w:sz w:val="24"/>
          <w:szCs w:val="24"/>
        </w:rPr>
        <w:t xml:space="preserve">plniť rôzne zákonné, stavovské a zmluvné povinnosti; a </w:t>
      </w:r>
    </w:p>
    <w:p w14:paraId="03637879" w14:textId="77777777" w:rsidR="003406CE" w:rsidRPr="009B5847" w:rsidRDefault="003406CE" w:rsidP="003406CE">
      <w:pPr>
        <w:pStyle w:val="Odstavecseseznamem"/>
        <w:numPr>
          <w:ilvl w:val="0"/>
          <w:numId w:val="1"/>
        </w:numPr>
        <w:ind w:left="567" w:hanging="567"/>
        <w:jc w:val="both"/>
        <w:rPr>
          <w:rFonts w:ascii="Times New Roman" w:hAnsi="Times New Roman" w:cs="Times New Roman"/>
          <w:sz w:val="24"/>
          <w:szCs w:val="24"/>
        </w:rPr>
      </w:pPr>
      <w:r w:rsidRPr="009B5847">
        <w:rPr>
          <w:rFonts w:ascii="Times New Roman" w:hAnsi="Times New Roman" w:cs="Times New Roman"/>
          <w:sz w:val="24"/>
          <w:szCs w:val="24"/>
        </w:rPr>
        <w:t xml:space="preserve">chrániť oprávnené záujmy nás, našich klientov a iných osôb. </w:t>
      </w:r>
    </w:p>
    <w:p w14:paraId="1A116485"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Na aké účely a na základe akých právnych základov spracúvame osobné údaje? </w:t>
      </w: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3406CE" w:rsidRPr="009B5847" w14:paraId="24323269" w14:textId="77777777" w:rsidTr="00942300">
        <w:tc>
          <w:tcPr>
            <w:tcW w:w="3020" w:type="dxa"/>
            <w:shd w:val="clear" w:color="auto" w:fill="E7E6E6" w:themeFill="background2"/>
          </w:tcPr>
          <w:p w14:paraId="2849FC63" w14:textId="77777777" w:rsidR="003406CE" w:rsidRPr="009B5847" w:rsidRDefault="003406CE" w:rsidP="00942300">
            <w:pPr>
              <w:jc w:val="both"/>
              <w:rPr>
                <w:rFonts w:ascii="Times New Roman" w:hAnsi="Times New Roman" w:cs="Times New Roman"/>
                <w:b/>
                <w:sz w:val="24"/>
                <w:szCs w:val="24"/>
              </w:rPr>
            </w:pPr>
            <w:r w:rsidRPr="009B5847">
              <w:rPr>
                <w:rFonts w:ascii="Times New Roman" w:hAnsi="Times New Roman" w:cs="Times New Roman"/>
                <w:b/>
                <w:sz w:val="24"/>
                <w:szCs w:val="24"/>
              </w:rPr>
              <w:t xml:space="preserve">Účel </w:t>
            </w:r>
          </w:p>
        </w:tc>
        <w:tc>
          <w:tcPr>
            <w:tcW w:w="3021" w:type="dxa"/>
            <w:shd w:val="clear" w:color="auto" w:fill="E7E6E6" w:themeFill="background2"/>
          </w:tcPr>
          <w:p w14:paraId="3964330A" w14:textId="77777777" w:rsidR="003406CE" w:rsidRPr="009B5847" w:rsidRDefault="003406CE" w:rsidP="00942300">
            <w:pPr>
              <w:jc w:val="both"/>
              <w:rPr>
                <w:rFonts w:ascii="Times New Roman" w:hAnsi="Times New Roman" w:cs="Times New Roman"/>
                <w:b/>
                <w:sz w:val="24"/>
                <w:szCs w:val="24"/>
              </w:rPr>
            </w:pPr>
            <w:r w:rsidRPr="009B5847">
              <w:rPr>
                <w:rFonts w:ascii="Times New Roman" w:hAnsi="Times New Roman" w:cs="Times New Roman"/>
                <w:b/>
                <w:sz w:val="24"/>
                <w:szCs w:val="24"/>
              </w:rPr>
              <w:t xml:space="preserve">Právny základ podľa GDPR </w:t>
            </w:r>
          </w:p>
        </w:tc>
        <w:tc>
          <w:tcPr>
            <w:tcW w:w="3021" w:type="dxa"/>
            <w:shd w:val="clear" w:color="auto" w:fill="E7E6E6" w:themeFill="background2"/>
          </w:tcPr>
          <w:p w14:paraId="5406CEA3" w14:textId="77777777" w:rsidR="003406CE" w:rsidRPr="009B5847" w:rsidRDefault="003406CE" w:rsidP="00942300">
            <w:pPr>
              <w:jc w:val="both"/>
              <w:rPr>
                <w:rFonts w:ascii="Times New Roman" w:hAnsi="Times New Roman" w:cs="Times New Roman"/>
                <w:b/>
                <w:sz w:val="24"/>
                <w:szCs w:val="24"/>
              </w:rPr>
            </w:pPr>
            <w:r w:rsidRPr="009B5847">
              <w:rPr>
                <w:rFonts w:ascii="Times New Roman" w:hAnsi="Times New Roman" w:cs="Times New Roman"/>
                <w:b/>
                <w:sz w:val="24"/>
                <w:szCs w:val="24"/>
              </w:rPr>
              <w:t xml:space="preserve">Súvisiace predpisy </w:t>
            </w:r>
          </w:p>
        </w:tc>
      </w:tr>
      <w:tr w:rsidR="003406CE" w:rsidRPr="009B5847" w14:paraId="14767F40" w14:textId="77777777" w:rsidTr="00942300">
        <w:tc>
          <w:tcPr>
            <w:tcW w:w="3020" w:type="dxa"/>
          </w:tcPr>
          <w:p w14:paraId="34C4AEE7" w14:textId="77777777" w:rsidR="00967720" w:rsidRPr="009B5847" w:rsidRDefault="00967720" w:rsidP="00967720">
            <w:pPr>
              <w:shd w:val="clear" w:color="auto" w:fill="FFFFFF"/>
              <w:jc w:val="both"/>
              <w:outlineLvl w:val="1"/>
              <w:rPr>
                <w:rFonts w:ascii="Times New Roman" w:eastAsia="Times New Roman" w:hAnsi="Times New Roman" w:cs="Times New Roman"/>
                <w:color w:val="000000" w:themeColor="text1"/>
                <w:sz w:val="24"/>
                <w:szCs w:val="24"/>
                <w:lang w:eastAsia="sk-SK"/>
              </w:rPr>
            </w:pPr>
            <w:r w:rsidRPr="009B5847">
              <w:rPr>
                <w:rFonts w:ascii="Times New Roman" w:eastAsia="Times New Roman" w:hAnsi="Times New Roman" w:cs="Times New Roman"/>
                <w:bCs/>
                <w:color w:val="000000" w:themeColor="text1"/>
                <w:sz w:val="24"/>
                <w:szCs w:val="24"/>
                <w:lang w:eastAsia="sk-SK"/>
              </w:rPr>
              <w:t xml:space="preserve">1/ </w:t>
            </w:r>
            <w:r w:rsidRPr="009B5847">
              <w:rPr>
                <w:rFonts w:ascii="Times New Roman" w:eastAsia="Times New Roman" w:hAnsi="Times New Roman" w:cs="Times New Roman"/>
                <w:color w:val="000000" w:themeColor="text1"/>
                <w:sz w:val="24"/>
                <w:szCs w:val="24"/>
                <w:lang w:eastAsia="sk-SK"/>
              </w:rPr>
              <w:t>Výkon povolania (poskytovanie právnych služieb)</w:t>
            </w:r>
            <w:r w:rsidRPr="009B5847">
              <w:rPr>
                <w:rFonts w:ascii="Times New Roman" w:eastAsia="Times New Roman" w:hAnsi="Times New Roman" w:cs="Times New Roman"/>
                <w:color w:val="000000" w:themeColor="text1"/>
                <w:sz w:val="24"/>
                <w:szCs w:val="24"/>
                <w:lang w:eastAsia="sk-SK"/>
              </w:rPr>
              <w:tab/>
            </w:r>
          </w:p>
          <w:p w14:paraId="787695B4" w14:textId="77777777" w:rsidR="003406CE" w:rsidRPr="009B5847" w:rsidRDefault="003406CE" w:rsidP="00942300">
            <w:pPr>
              <w:jc w:val="both"/>
              <w:rPr>
                <w:rFonts w:ascii="Times New Roman" w:hAnsi="Times New Roman" w:cs="Times New Roman"/>
                <w:sz w:val="24"/>
                <w:szCs w:val="24"/>
              </w:rPr>
            </w:pPr>
          </w:p>
        </w:tc>
        <w:tc>
          <w:tcPr>
            <w:tcW w:w="3021" w:type="dxa"/>
          </w:tcPr>
          <w:p w14:paraId="785A06A9"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Plnenie zákonnej povinnosti podľa čl. 6 ods. 1 písm. c) GDPR (vo vzťahu k osobitným kategóriám osobných údajov môže ísť o dodatočné podmienky podľa čl. 9 ods. 2 písm. f) GDPR)</w:t>
            </w:r>
          </w:p>
        </w:tc>
        <w:tc>
          <w:tcPr>
            <w:tcW w:w="3021" w:type="dxa"/>
          </w:tcPr>
          <w:p w14:paraId="30BE6D5E"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Zákon o advokácií, Advokátsky poriadok, Občiansky a Obchodný zákonník</w:t>
            </w:r>
          </w:p>
        </w:tc>
      </w:tr>
      <w:tr w:rsidR="003406CE" w:rsidRPr="009B5847" w14:paraId="7EAA9247" w14:textId="77777777" w:rsidTr="00942300">
        <w:tc>
          <w:tcPr>
            <w:tcW w:w="3020" w:type="dxa"/>
          </w:tcPr>
          <w:p w14:paraId="20FC7466"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2/ Poskytovanie iných ako právnych služieb</w:t>
            </w:r>
          </w:p>
        </w:tc>
        <w:tc>
          <w:tcPr>
            <w:tcW w:w="3021" w:type="dxa"/>
          </w:tcPr>
          <w:p w14:paraId="100A1EBC"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Plnenie zmluvy podľa článku 6 ods. 1 písm. b) GDPR prípadne aj plnenie zákonnej povinnosti podľa čl. 6 ods. 1 písm. c) GDPR</w:t>
            </w:r>
          </w:p>
        </w:tc>
        <w:tc>
          <w:tcPr>
            <w:tcW w:w="3021" w:type="dxa"/>
          </w:tcPr>
          <w:p w14:paraId="6F49D62E"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Zákon o registri partnerov verejného sektora, Zákon o e-Governmente, Občiansky a Obchodný zákonník, Zákon o nájme nebytových priestorov</w:t>
            </w:r>
          </w:p>
        </w:tc>
      </w:tr>
      <w:tr w:rsidR="003406CE" w:rsidRPr="009B5847" w14:paraId="258A4BC9" w14:textId="77777777" w:rsidTr="00942300">
        <w:tc>
          <w:tcPr>
            <w:tcW w:w="3020" w:type="dxa"/>
          </w:tcPr>
          <w:p w14:paraId="70BA9976"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3/ Zabezpečenie súladu s právnymi predpismi a predpismi Slovenskej advokátskej komory</w:t>
            </w:r>
          </w:p>
        </w:tc>
        <w:tc>
          <w:tcPr>
            <w:tcW w:w="3021" w:type="dxa"/>
          </w:tcPr>
          <w:p w14:paraId="419E44D2"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 xml:space="preserve">Plnenie zákonnej povinnosti podľa čl. 6 ods. 1 písm. c) GDPR, oprávnený záujem advokátov alebo tretích strán podľa čl. 6 ods. 1 písm. f) </w:t>
            </w:r>
            <w:r w:rsidRPr="009B5847">
              <w:rPr>
                <w:rFonts w:ascii="Times New Roman" w:eastAsia="Times New Roman" w:hAnsi="Times New Roman" w:cs="Times New Roman"/>
                <w:color w:val="000000" w:themeColor="text1"/>
                <w:sz w:val="24"/>
                <w:szCs w:val="24"/>
                <w:lang w:eastAsia="sk-SK"/>
              </w:rPr>
              <w:lastRenderedPageBreak/>
              <w:t>GDPR, verejný záujem podľa čl. 6 ods. 1 písm. e) GDPR alebo obhajovanie právnych nárokov podľa čl. 9 ods. 2 písm. f) GDPR</w:t>
            </w:r>
          </w:p>
        </w:tc>
        <w:tc>
          <w:tcPr>
            <w:tcW w:w="3021" w:type="dxa"/>
          </w:tcPr>
          <w:p w14:paraId="6FC2F6FD"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lastRenderedPageBreak/>
              <w:t xml:space="preserve">Zákon o advokácií, Advokátsky poriadok, Zákon o ochrane pred legalizáciou príjmov z trestnej činnosti, Zákon o </w:t>
            </w:r>
            <w:r w:rsidRPr="009B5847">
              <w:rPr>
                <w:rFonts w:ascii="Times New Roman" w:eastAsia="Times New Roman" w:hAnsi="Times New Roman" w:cs="Times New Roman"/>
                <w:color w:val="000000" w:themeColor="text1"/>
                <w:sz w:val="24"/>
                <w:szCs w:val="24"/>
                <w:lang w:eastAsia="sk-SK"/>
              </w:rPr>
              <w:lastRenderedPageBreak/>
              <w:t>oznamovaní protispoločenskej činnosti, GDPR</w:t>
            </w:r>
          </w:p>
        </w:tc>
      </w:tr>
      <w:tr w:rsidR="003406CE" w:rsidRPr="009B5847" w14:paraId="78261274" w14:textId="77777777" w:rsidTr="00942300">
        <w:tc>
          <w:tcPr>
            <w:tcW w:w="3020" w:type="dxa"/>
          </w:tcPr>
          <w:p w14:paraId="458A2BDF"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lastRenderedPageBreak/>
              <w:t>4/ Účely týkajúce sa ochrany oprávnených záujmov</w:t>
            </w:r>
          </w:p>
        </w:tc>
        <w:tc>
          <w:tcPr>
            <w:tcW w:w="3021" w:type="dxa"/>
          </w:tcPr>
          <w:p w14:paraId="60C1D949"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Oprávnený záujem advokátov alebo tretích strán podľa čl. 6 ods. 1 psím. f) GDPR</w:t>
            </w:r>
          </w:p>
        </w:tc>
        <w:tc>
          <w:tcPr>
            <w:tcW w:w="3021" w:type="dxa"/>
          </w:tcPr>
          <w:p w14:paraId="07B9A61B"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Občiansky a Obchodný zákonník, Trestný poriadok, Trestný zákon, Civilný sporový poriadok, Civilný mimosporový poriadok, Správny súdny poriadok, Správny poriadok, Zákon o priestupkoch</w:t>
            </w:r>
          </w:p>
        </w:tc>
      </w:tr>
      <w:tr w:rsidR="003406CE" w:rsidRPr="009B5847" w14:paraId="63FDFCA5" w14:textId="77777777" w:rsidTr="00942300">
        <w:tc>
          <w:tcPr>
            <w:tcW w:w="3020" w:type="dxa"/>
          </w:tcPr>
          <w:p w14:paraId="679ED244"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5/ Marketingové účely</w:t>
            </w:r>
          </w:p>
        </w:tc>
        <w:tc>
          <w:tcPr>
            <w:tcW w:w="3021" w:type="dxa"/>
          </w:tcPr>
          <w:p w14:paraId="52F56AB8"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Oprávnený záujem advokátov alebo tretích strán podľa čl. 6 ods. 1 písm. f) GDPR</w:t>
            </w:r>
          </w:p>
        </w:tc>
        <w:tc>
          <w:tcPr>
            <w:tcW w:w="3021" w:type="dxa"/>
          </w:tcPr>
          <w:p w14:paraId="2C0C03E4" w14:textId="77777777" w:rsidR="003406CE" w:rsidRPr="009B5847" w:rsidRDefault="00967720"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Zákon o advokácií, Zákon o elektronických komunikáciách, Zákon o reklame, Zákon o ochrane spotrebiteľa, Občiansky zákonník</w:t>
            </w:r>
          </w:p>
        </w:tc>
      </w:tr>
      <w:tr w:rsidR="003406CE" w:rsidRPr="009B5847" w14:paraId="1AAE678B" w14:textId="77777777" w:rsidTr="00942300">
        <w:tc>
          <w:tcPr>
            <w:tcW w:w="3020" w:type="dxa"/>
          </w:tcPr>
          <w:p w14:paraId="21D23656" w14:textId="77777777" w:rsidR="003406CE"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6/ Štatistické účely, archívne účely vo verejnom záujme</w:t>
            </w:r>
          </w:p>
        </w:tc>
        <w:tc>
          <w:tcPr>
            <w:tcW w:w="3021" w:type="dxa"/>
          </w:tcPr>
          <w:p w14:paraId="187B4667" w14:textId="77777777" w:rsidR="003406CE"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Čl. 89 GDPR</w:t>
            </w:r>
          </w:p>
        </w:tc>
        <w:tc>
          <w:tcPr>
            <w:tcW w:w="3021" w:type="dxa"/>
          </w:tcPr>
          <w:p w14:paraId="4C48A9FF" w14:textId="77777777" w:rsidR="003406CE"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Zákon o archívoch a registratúrach</w:t>
            </w:r>
          </w:p>
        </w:tc>
      </w:tr>
      <w:tr w:rsidR="00967720" w:rsidRPr="009B5847" w14:paraId="2569D2D1" w14:textId="77777777" w:rsidTr="00942300">
        <w:tc>
          <w:tcPr>
            <w:tcW w:w="3020" w:type="dxa"/>
          </w:tcPr>
          <w:p w14:paraId="2FC6F30C" w14:textId="77777777" w:rsidR="00967720"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7/ Personalistika a mzdy</w:t>
            </w:r>
          </w:p>
        </w:tc>
        <w:tc>
          <w:tcPr>
            <w:tcW w:w="3021" w:type="dxa"/>
          </w:tcPr>
          <w:p w14:paraId="7E66EBFF" w14:textId="77777777" w:rsidR="00967720"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Plnenie zákonnej povinnosti podľa čl. 6 ods. 1 písm. c) GDPR, oprávnený záujem podľa čl. 6 ods. 1 psím. f) GDPR prípadne aj plnenie zmluvy podľa článku 6 ods. 1 písm. b) GDPR (vo vzťahu k osobitným kategóriám osobných údajov môže ísť o dodatočné podmienky podľa čl. 9 ods. 2 písm. b) GDPR</w:t>
            </w:r>
          </w:p>
        </w:tc>
        <w:tc>
          <w:tcPr>
            <w:tcW w:w="3021" w:type="dxa"/>
          </w:tcPr>
          <w:p w14:paraId="4D789145" w14:textId="77777777" w:rsidR="00967720"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Zákonník práce, Zákon o advokácií a ďalšie predpisy</w:t>
            </w:r>
          </w:p>
        </w:tc>
      </w:tr>
      <w:tr w:rsidR="00967720" w:rsidRPr="009B5847" w14:paraId="600E4E7E" w14:textId="77777777" w:rsidTr="00942300">
        <w:tc>
          <w:tcPr>
            <w:tcW w:w="3020" w:type="dxa"/>
          </w:tcPr>
          <w:p w14:paraId="67C97217" w14:textId="77777777" w:rsidR="00967720"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8/ Účtovné a daňové účely</w:t>
            </w:r>
          </w:p>
        </w:tc>
        <w:tc>
          <w:tcPr>
            <w:tcW w:w="3021" w:type="dxa"/>
          </w:tcPr>
          <w:p w14:paraId="362AD836" w14:textId="77777777" w:rsidR="00967720" w:rsidRPr="009B5847" w:rsidRDefault="00C609E9"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Plnenie zákonnej povinnosti podľa čl. 6 ods. 1 písm. c) GDPR</w:t>
            </w:r>
          </w:p>
        </w:tc>
        <w:tc>
          <w:tcPr>
            <w:tcW w:w="3021" w:type="dxa"/>
          </w:tcPr>
          <w:p w14:paraId="24B57320" w14:textId="77777777" w:rsidR="00967720" w:rsidRPr="009B5847" w:rsidRDefault="004F2B72" w:rsidP="00942300">
            <w:pPr>
              <w:jc w:val="both"/>
              <w:rPr>
                <w:rFonts w:ascii="Times New Roman" w:hAnsi="Times New Roman" w:cs="Times New Roman"/>
                <w:sz w:val="24"/>
                <w:szCs w:val="24"/>
              </w:rPr>
            </w:pPr>
            <w:r w:rsidRPr="009B5847">
              <w:rPr>
                <w:rFonts w:ascii="Times New Roman" w:eastAsia="Times New Roman" w:hAnsi="Times New Roman" w:cs="Times New Roman"/>
                <w:color w:val="000000" w:themeColor="text1"/>
                <w:sz w:val="24"/>
                <w:szCs w:val="24"/>
                <w:lang w:eastAsia="sk-SK"/>
              </w:rPr>
              <w:t>Osobitné zákony v oblasti účtovníctva a správy daní</w:t>
            </w:r>
          </w:p>
        </w:tc>
      </w:tr>
      <w:tr w:rsidR="003406CE" w:rsidRPr="009B5847" w14:paraId="70CE3940" w14:textId="77777777" w:rsidTr="00942300">
        <w:tc>
          <w:tcPr>
            <w:tcW w:w="3020" w:type="dxa"/>
          </w:tcPr>
          <w:p w14:paraId="1FE616A3" w14:textId="77777777" w:rsidR="003406CE" w:rsidRPr="009B5847" w:rsidRDefault="003406CE" w:rsidP="00942300">
            <w:pPr>
              <w:jc w:val="both"/>
              <w:rPr>
                <w:rFonts w:ascii="Times New Roman" w:hAnsi="Times New Roman" w:cs="Times New Roman"/>
                <w:sz w:val="24"/>
                <w:szCs w:val="24"/>
              </w:rPr>
            </w:pPr>
          </w:p>
        </w:tc>
        <w:tc>
          <w:tcPr>
            <w:tcW w:w="3021" w:type="dxa"/>
          </w:tcPr>
          <w:p w14:paraId="58FF1D0A" w14:textId="77777777" w:rsidR="003406CE" w:rsidRPr="009B5847" w:rsidRDefault="003406CE" w:rsidP="00942300">
            <w:pPr>
              <w:jc w:val="both"/>
              <w:rPr>
                <w:rFonts w:ascii="Times New Roman" w:hAnsi="Times New Roman" w:cs="Times New Roman"/>
                <w:sz w:val="24"/>
                <w:szCs w:val="24"/>
              </w:rPr>
            </w:pPr>
          </w:p>
        </w:tc>
        <w:tc>
          <w:tcPr>
            <w:tcW w:w="3021" w:type="dxa"/>
          </w:tcPr>
          <w:p w14:paraId="4E0A00D1" w14:textId="77777777" w:rsidR="003406CE" w:rsidRPr="009B5847" w:rsidRDefault="003406CE" w:rsidP="00942300">
            <w:pPr>
              <w:jc w:val="both"/>
              <w:rPr>
                <w:rFonts w:ascii="Times New Roman" w:hAnsi="Times New Roman" w:cs="Times New Roman"/>
                <w:sz w:val="24"/>
                <w:szCs w:val="24"/>
              </w:rPr>
            </w:pPr>
          </w:p>
        </w:tc>
      </w:tr>
    </w:tbl>
    <w:p w14:paraId="32773899"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Komu sprístupňujeme Vaše osobné údaje? </w:t>
      </w:r>
    </w:p>
    <w:p w14:paraId="22C3123C"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Osobné údaje našich klientov a iných fyzických osôb sprístupňujeme len v nevyhnutnej miere a vždy pri zachovaní mlčanlivosti príjemcu údajov napr. našim zamestnancom, osobám, ktoré poverujeme vykonaním jednotlivých úkonov právnych služieb, zastupujúcim alebo spolupracujúcim advokátom,</w:t>
      </w:r>
      <w:r w:rsidRPr="009B5847">
        <w:rPr>
          <w:rFonts w:ascii="Times New Roman" w:hAnsi="Times New Roman" w:cs="Times New Roman"/>
          <w:b/>
          <w:sz w:val="24"/>
          <w:szCs w:val="24"/>
        </w:rPr>
        <w:t xml:space="preserve"> </w:t>
      </w:r>
      <w:r w:rsidRPr="009B5847">
        <w:rPr>
          <w:rFonts w:ascii="Times New Roman" w:hAnsi="Times New Roman" w:cs="Times New Roman"/>
          <w:sz w:val="24"/>
          <w:szCs w:val="24"/>
        </w:rPr>
        <w:t xml:space="preserve">našim účtovným poradcom, naším profesionálnym poradcom (napr. audítorom), Slovenskej advokátskej komore (napr. v prípade disciplinárneho konania) alebo poskytovateľom softvérového vybavenia alebo podpory našej kancelárie, vrátane zamestnancov týchto osôb. </w:t>
      </w:r>
    </w:p>
    <w:p w14:paraId="309F5AAB"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Aj keď máme z dôvodu zachovania mlčanlivosti obmedzenú povinnosť poskytovať Vaše osobné údaje orgánom verejnej moci</w:t>
      </w:r>
      <w:r w:rsidRPr="009B5847">
        <w:rPr>
          <w:rStyle w:val="Znakapoznpodarou"/>
          <w:rFonts w:ascii="Times New Roman" w:hAnsi="Times New Roman" w:cs="Times New Roman"/>
          <w:sz w:val="24"/>
          <w:szCs w:val="24"/>
        </w:rPr>
        <w:footnoteReference w:id="2"/>
      </w:r>
      <w:r w:rsidRPr="009B5847">
        <w:rPr>
          <w:rFonts w:ascii="Times New Roman" w:hAnsi="Times New Roman" w:cs="Times New Roman"/>
          <w:sz w:val="24"/>
          <w:szCs w:val="24"/>
        </w:rPr>
        <w:t xml:space="preserve">, sme povinní prekaziť spáchanie trestného činu a takisto máme povinnosť oznamovať informácie na úseku predchádzania priania špinavých peňazí a financovania terorizmu. </w:t>
      </w:r>
    </w:p>
    <w:p w14:paraId="6C6627E9"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Do ktorých krajín prenášame Vaše osobné údaje? </w:t>
      </w:r>
    </w:p>
    <w:p w14:paraId="26161506" w14:textId="77777777" w:rsidR="0022133C" w:rsidRPr="009B5847" w:rsidRDefault="003406CE" w:rsidP="003406CE">
      <w:pPr>
        <w:jc w:val="both"/>
        <w:rPr>
          <w:rFonts w:ascii="Times New Roman" w:hAnsi="Times New Roman" w:cs="Times New Roman"/>
          <w:b/>
          <w:sz w:val="24"/>
          <w:szCs w:val="24"/>
        </w:rPr>
      </w:pPr>
      <w:r w:rsidRPr="009B5847">
        <w:rPr>
          <w:rFonts w:ascii="Times New Roman" w:hAnsi="Times New Roman" w:cs="Times New Roman"/>
          <w:sz w:val="24"/>
          <w:szCs w:val="24"/>
        </w:rPr>
        <w:t xml:space="preserve">Cezhraničný prenos Vašich osobných údajov to tretích krajín mimo Európskeho hospodárskeho priestoru (EÚ, Island, Nórsko a Lichtenštajnsko) nezamýšľame. </w:t>
      </w:r>
    </w:p>
    <w:p w14:paraId="383158ED"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Ako dlho uchovávame Vaše osobné údaje? </w:t>
      </w:r>
    </w:p>
    <w:p w14:paraId="582D5C74"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Osobné údaje uchovávame najviac dovtedy, kým je to potrebné na účely, na ktoré sa osobné údaje spracúvajú. Pri uchovávaní osobných údajov sa riadime odporúčanými dobami uchovávania v zmysle Uznesenia predsedníctva Slovenskej advokátskej komory číslo 29/11/2011, napr.: </w:t>
      </w:r>
    </w:p>
    <w:p w14:paraId="5F40BE9B" w14:textId="77777777" w:rsidR="003406CE" w:rsidRPr="009B5847" w:rsidRDefault="003406CE" w:rsidP="003406CE">
      <w:pPr>
        <w:pStyle w:val="Odstavecseseznamem"/>
        <w:numPr>
          <w:ilvl w:val="0"/>
          <w:numId w:val="2"/>
        </w:numPr>
        <w:jc w:val="both"/>
        <w:rPr>
          <w:rFonts w:ascii="Times New Roman" w:hAnsi="Times New Roman" w:cs="Times New Roman"/>
          <w:sz w:val="24"/>
          <w:szCs w:val="24"/>
        </w:rPr>
      </w:pPr>
      <w:r w:rsidRPr="009B5847">
        <w:rPr>
          <w:rFonts w:ascii="Times New Roman" w:hAnsi="Times New Roman" w:cs="Times New Roman"/>
          <w:sz w:val="24"/>
          <w:szCs w:val="24"/>
        </w:rPr>
        <w:t xml:space="preserve">Knihu došlej pošty a knihu odoslanej pošty po jej zaplnení uschováva advokát počas desiatich rokov od dátumu prijatia alebo odoslania v knihe zapísanej poslednej zásielky; </w:t>
      </w:r>
    </w:p>
    <w:p w14:paraId="51DD32CC" w14:textId="77777777" w:rsidR="003406CE" w:rsidRPr="009B5847" w:rsidRDefault="003406CE" w:rsidP="003406CE">
      <w:pPr>
        <w:pStyle w:val="Odstavecseseznamem"/>
        <w:numPr>
          <w:ilvl w:val="0"/>
          <w:numId w:val="2"/>
        </w:numPr>
        <w:jc w:val="both"/>
        <w:rPr>
          <w:rFonts w:ascii="Times New Roman" w:hAnsi="Times New Roman" w:cs="Times New Roman"/>
          <w:sz w:val="24"/>
          <w:szCs w:val="24"/>
        </w:rPr>
      </w:pPr>
      <w:r w:rsidRPr="009B5847">
        <w:rPr>
          <w:rFonts w:ascii="Times New Roman" w:hAnsi="Times New Roman" w:cs="Times New Roman"/>
          <w:sz w:val="24"/>
          <w:szCs w:val="24"/>
        </w:rPr>
        <w:t>Inventárny zoznam archivuje advokát počas desiatich rokov od jeho spísania;</w:t>
      </w:r>
    </w:p>
    <w:p w14:paraId="2DF2AAEE" w14:textId="77777777" w:rsidR="003406CE" w:rsidRPr="009B5847" w:rsidRDefault="003406CE" w:rsidP="003406CE">
      <w:pPr>
        <w:pStyle w:val="Odstavecseseznamem"/>
        <w:numPr>
          <w:ilvl w:val="0"/>
          <w:numId w:val="2"/>
        </w:numPr>
        <w:jc w:val="both"/>
        <w:rPr>
          <w:rFonts w:ascii="Times New Roman" w:hAnsi="Times New Roman" w:cs="Times New Roman"/>
          <w:sz w:val="24"/>
          <w:szCs w:val="24"/>
        </w:rPr>
      </w:pPr>
      <w:r w:rsidRPr="009B5847">
        <w:rPr>
          <w:rFonts w:ascii="Times New Roman" w:hAnsi="Times New Roman" w:cs="Times New Roman"/>
          <w:sz w:val="24"/>
          <w:szCs w:val="24"/>
        </w:rPr>
        <w:t>Ak advokát vedie menoslov klientov a protokol klientskeho spisu elektronicky, ku koncu kalendárneho roka vyhotoví za kalendárny rok jeho tlačenú formu a túto uloží v kancelárii bez časového obmedzenia;</w:t>
      </w:r>
    </w:p>
    <w:p w14:paraId="519438BD" w14:textId="77777777" w:rsidR="003406CE" w:rsidRPr="009B5847" w:rsidRDefault="003406CE" w:rsidP="003406CE">
      <w:pPr>
        <w:pStyle w:val="Odstavecseseznamem"/>
        <w:numPr>
          <w:ilvl w:val="0"/>
          <w:numId w:val="2"/>
        </w:numPr>
        <w:jc w:val="both"/>
        <w:rPr>
          <w:rFonts w:ascii="Times New Roman" w:hAnsi="Times New Roman" w:cs="Times New Roman"/>
          <w:sz w:val="24"/>
          <w:szCs w:val="24"/>
        </w:rPr>
      </w:pPr>
      <w:r w:rsidRPr="009B5847">
        <w:rPr>
          <w:rFonts w:ascii="Times New Roman" w:hAnsi="Times New Roman" w:cs="Times New Roman"/>
          <w:sz w:val="24"/>
          <w:szCs w:val="24"/>
        </w:rPr>
        <w:t xml:space="preserve">Skartačná lehota klientskeho spisu je 10 rokov a plynie odo dňa, keď sú splnené všetky podmienky pre uloženie spisu do archívu. </w:t>
      </w:r>
    </w:p>
    <w:p w14:paraId="3E51810E"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Na advokátov sa vzťahujú stavovské prepisy vykladajúce povinnosti advokátov podľa Zákona o advokácií, podľa ktorých existujú určité okolnosti, ktoré predlžujú naše doby uchovávania osobných údajov resp. bránia nám v skartácií niektorých dokumentov z pochopiteľných dôvodov. Napr.: </w:t>
      </w:r>
    </w:p>
    <w:p w14:paraId="57D0BA1F" w14:textId="77777777" w:rsidR="003406CE" w:rsidRPr="009B5847" w:rsidRDefault="003406CE" w:rsidP="003406CE">
      <w:pPr>
        <w:pStyle w:val="Odstavecseseznamem"/>
        <w:numPr>
          <w:ilvl w:val="0"/>
          <w:numId w:val="3"/>
        </w:numPr>
        <w:jc w:val="both"/>
        <w:rPr>
          <w:rFonts w:ascii="Times New Roman" w:hAnsi="Times New Roman" w:cs="Times New Roman"/>
          <w:sz w:val="24"/>
          <w:szCs w:val="24"/>
        </w:rPr>
      </w:pPr>
      <w:r w:rsidRPr="009B5847">
        <w:rPr>
          <w:rFonts w:ascii="Times New Roman" w:hAnsi="Times New Roman" w:cs="Times New Roman"/>
          <w:sz w:val="24"/>
          <w:szCs w:val="24"/>
        </w:rPr>
        <w:t xml:space="preserve">Klientsky spis, v ktorom sa nachádzajú originály listín odovzdaných advokátovi klientom nie je možné skartovať; </w:t>
      </w:r>
    </w:p>
    <w:p w14:paraId="7D810E66" w14:textId="77777777" w:rsidR="003406CE" w:rsidRPr="009B5847" w:rsidRDefault="003406CE" w:rsidP="003406CE">
      <w:pPr>
        <w:pStyle w:val="Odstavecseseznamem"/>
        <w:numPr>
          <w:ilvl w:val="0"/>
          <w:numId w:val="3"/>
        </w:numPr>
        <w:jc w:val="both"/>
        <w:rPr>
          <w:rFonts w:ascii="Times New Roman" w:hAnsi="Times New Roman" w:cs="Times New Roman"/>
          <w:sz w:val="24"/>
          <w:szCs w:val="24"/>
        </w:rPr>
      </w:pPr>
      <w:r w:rsidRPr="009B5847">
        <w:rPr>
          <w:rFonts w:ascii="Times New Roman" w:hAnsi="Times New Roman" w:cs="Times New Roman"/>
          <w:sz w:val="24"/>
          <w:szCs w:val="24"/>
        </w:rPr>
        <w:t>Skartovať nie je možné protokoly klientskych spisov a menoslov klientskych spisov;</w:t>
      </w:r>
    </w:p>
    <w:p w14:paraId="5B1268C6" w14:textId="77777777" w:rsidR="003406CE" w:rsidRPr="009B5847" w:rsidRDefault="003406CE" w:rsidP="003406CE">
      <w:pPr>
        <w:pStyle w:val="Odstavecseseznamem"/>
        <w:numPr>
          <w:ilvl w:val="0"/>
          <w:numId w:val="3"/>
        </w:numPr>
        <w:jc w:val="both"/>
        <w:rPr>
          <w:rFonts w:ascii="Times New Roman" w:hAnsi="Times New Roman" w:cs="Times New Roman"/>
          <w:sz w:val="24"/>
          <w:szCs w:val="24"/>
        </w:rPr>
      </w:pPr>
      <w:r w:rsidRPr="009B5847">
        <w:rPr>
          <w:rFonts w:ascii="Times New Roman" w:hAnsi="Times New Roman" w:cs="Times New Roman"/>
          <w:sz w:val="24"/>
          <w:szCs w:val="24"/>
        </w:rPr>
        <w:t xml:space="preserve">Skartovať nie je možné klientsky spis alebo jeho časť, ktorú je advokát povinný odovzdať štátnemu archívu; </w:t>
      </w:r>
    </w:p>
    <w:p w14:paraId="6C4A485F" w14:textId="77777777" w:rsidR="003406CE" w:rsidRPr="009B5847" w:rsidRDefault="003406CE" w:rsidP="003406CE">
      <w:pPr>
        <w:pStyle w:val="Odstavecseseznamem"/>
        <w:numPr>
          <w:ilvl w:val="0"/>
          <w:numId w:val="3"/>
        </w:numPr>
        <w:jc w:val="both"/>
        <w:rPr>
          <w:rFonts w:ascii="Times New Roman" w:hAnsi="Times New Roman" w:cs="Times New Roman"/>
          <w:sz w:val="24"/>
          <w:szCs w:val="24"/>
        </w:rPr>
      </w:pPr>
      <w:r w:rsidRPr="009B5847">
        <w:rPr>
          <w:rFonts w:ascii="Times New Roman" w:hAnsi="Times New Roman" w:cs="Times New Roman"/>
          <w:sz w:val="24"/>
          <w:szCs w:val="24"/>
        </w:rPr>
        <w:t xml:space="preserve">Skartovať nie je možné klientsky spis, pokiaľ je vedené akékoľvek konanie pred súdom, orgánom štátnej správy, orgánmi činnými v trestnom konaní, Slovenskou advokátskou komorou, ktoré obsahovo súvisí s obsahom klientskeho spisu alebo ktorého predmetom bolo konanie alebo opomenutie advokáta pri poskytovaní právnej pomoci vo veci klientovi. </w:t>
      </w:r>
    </w:p>
    <w:p w14:paraId="78C7598C"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Ako o Vás získavame osobné údaje? </w:t>
      </w:r>
    </w:p>
    <w:p w14:paraId="12C34593"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Ak ste náš klient, Vaše osobné údaje najčastejšie získavame priamo od Vás. V takom prípade je získanie Vašich osobných údajov dobrovoľné. V závislosti od konkrétneho prípadu neposkytnutie osobných údajov klientom môže mať dopad na našu schopnosť poskytnúť kvalitné právne poradenstvo alebo vo výnimočných prípadoch aj našu povinnosť odmietnuť poskytnúť právne poradenstvo. Osobné údaje o našich klientoch môžeme získavať aj z verejne dostupných zdrojov, od orgánov verejnej moci alebo od iných osôb. </w:t>
      </w:r>
    </w:p>
    <w:p w14:paraId="6850D9AA"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Ak nie ste náš klient, Vaše osobné údaje najčastejšie získavame od našich klientov alebo z iných verejných alebo zákonných zdrojov ako napr. vyžiadaním od orgánov verejnej moci, výpisom z verejných registrov, získavaním dôkazov v prospech klienta a pod. V takom prípade o Vás môžeme osobné údaje získavať bez informovania a aj proti Vašej vôli na základe nášho zákonného oprávnenia a povinnosti vykonávať advokáciu v súlade so Zákonom o advokácií. </w:t>
      </w:r>
    </w:p>
    <w:p w14:paraId="00BB309E"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Aké práva máte ako dotknutá osoba? </w:t>
      </w:r>
    </w:p>
    <w:p w14:paraId="2844D96B"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i/>
          <w:noProof/>
          <w:sz w:val="24"/>
          <w:szCs w:val="24"/>
          <w:lang w:eastAsia="sk-SK"/>
        </w:rPr>
        <mc:AlternateContent>
          <mc:Choice Requires="wps">
            <w:drawing>
              <wp:anchor distT="0" distB="0" distL="114300" distR="114300" simplePos="0" relativeHeight="251658240" behindDoc="0" locked="0" layoutInCell="1" allowOverlap="1" wp14:anchorId="27C3B02D" wp14:editId="194A86C4">
                <wp:simplePos x="0" y="0"/>
                <wp:positionH relativeFrom="margin">
                  <wp:align>right</wp:align>
                </wp:positionH>
                <wp:positionV relativeFrom="paragraph">
                  <wp:posOffset>12700</wp:posOffset>
                </wp:positionV>
                <wp:extent cx="5758815" cy="1081405"/>
                <wp:effectExtent l="0" t="0" r="13335" b="2349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08140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75F2980" w14:textId="77777777" w:rsidR="003406CE" w:rsidRDefault="003406CE" w:rsidP="003406CE">
                            <w:pPr>
                              <w:jc w:val="center"/>
                              <w:rPr>
                                <w:rFonts w:ascii="Century Gothic" w:hAnsi="Century Gothic"/>
                                <w:b/>
                                <w:sz w:val="21"/>
                                <w:szCs w:val="21"/>
                              </w:rPr>
                            </w:pPr>
                            <w:r w:rsidRPr="0063118A">
                              <w:rPr>
                                <w:rFonts w:ascii="Century Gothic" w:hAnsi="Century Gothic"/>
                                <w:b/>
                                <w:sz w:val="21"/>
                                <w:szCs w:val="21"/>
                              </w:rPr>
                              <w:t>Ak o Vás spracúvame osobné údaje na základe Vášho súhlasu so spracúvaním osobných údajov, máte právo kedykoľvek svoj súhlas odvolať</w:t>
                            </w:r>
                            <w:r>
                              <w:rPr>
                                <w:rFonts w:ascii="Century Gothic" w:hAnsi="Century Gothic"/>
                                <w:b/>
                                <w:sz w:val="21"/>
                                <w:szCs w:val="21"/>
                              </w:rPr>
                              <w:t xml:space="preserve">. </w:t>
                            </w:r>
                          </w:p>
                          <w:p w14:paraId="08C7DDE8" w14:textId="77777777" w:rsidR="003406CE" w:rsidRDefault="003406CE" w:rsidP="0022133C">
                            <w:pPr>
                              <w:jc w:val="center"/>
                            </w:pPr>
                            <w:r w:rsidRPr="0026472C">
                              <w:rPr>
                                <w:rFonts w:ascii="Century Gothic" w:hAnsi="Century Gothic"/>
                                <w:b/>
                                <w:sz w:val="21"/>
                                <w:szCs w:val="21"/>
                                <w:u w:val="single"/>
                              </w:rPr>
                              <w:t xml:space="preserve">Bez ohľadu na to máte právo kedykoľvek namietať proti spracúvaniu osobných údajov </w:t>
                            </w:r>
                            <w:r>
                              <w:rPr>
                                <w:rFonts w:ascii="Century Gothic" w:hAnsi="Century Gothic"/>
                                <w:b/>
                                <w:sz w:val="21"/>
                                <w:szCs w:val="21"/>
                                <w:u w:val="single"/>
                              </w:rPr>
                              <w:t xml:space="preserve">na základe oprávneného alebo verejného záujmu ako aj </w:t>
                            </w:r>
                            <w:r w:rsidRPr="0026472C">
                              <w:rPr>
                                <w:rFonts w:ascii="Century Gothic" w:hAnsi="Century Gothic"/>
                                <w:b/>
                                <w:sz w:val="21"/>
                                <w:szCs w:val="21"/>
                                <w:u w:val="single"/>
                              </w:rPr>
                              <w:t>na účely priameho marketingu vrátane profilovania</w:t>
                            </w:r>
                            <w:r w:rsidRPr="0026472C">
                              <w:rPr>
                                <w:rFonts w:ascii="Century Gothic" w:hAnsi="Century Gothic"/>
                                <w:b/>
                                <w:sz w:val="2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3B02D" id="Obdélník 1" o:spid="_x0000_s1026" style="position:absolute;left:0;text-align:left;margin-left:402.25pt;margin-top:1pt;width:453.45pt;height:85.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" fillcolor="#c3c3c3 [2166]" strokecolor="#a5a5a5 [3206]" strokeweight=".5pt">
                <v:fill color2="#b6b6b6 [2614]" rotate="t" colors="0 #d2d2d2;.5 #c8c8c8;1 silver" focus="100%" type="gradient">
                  <o:fill v:ext="view" type="gradientUnscaled"/>
                </v:fill>
                <v:path arrowok="t"/>
                <v:textbox>
                  <w:txbxContent>
                    <w:p w14:paraId="275F2980" w14:textId="77777777" w:rsidR="003406CE" w:rsidRDefault="003406CE" w:rsidP="003406CE">
                      <w:pPr>
                        <w:jc w:val="center"/>
                        <w:rPr>
                          <w:rFonts w:ascii="Century Gothic" w:hAnsi="Century Gothic"/>
                          <w:b/>
                          <w:sz w:val="21"/>
                          <w:szCs w:val="21"/>
                        </w:rPr>
                      </w:pPr>
                      <w:r w:rsidRPr="0063118A">
                        <w:rPr>
                          <w:rFonts w:ascii="Century Gothic" w:hAnsi="Century Gothic"/>
                          <w:b/>
                          <w:sz w:val="21"/>
                          <w:szCs w:val="21"/>
                        </w:rPr>
                        <w:t>Ak o Vás spracúvame osobné údaje na základe Vášho súhlasu so spracúvaním osobných údajov, máte právo kedykoľvek svoj súhlas odvolať</w:t>
                      </w:r>
                      <w:r>
                        <w:rPr>
                          <w:rFonts w:ascii="Century Gothic" w:hAnsi="Century Gothic"/>
                          <w:b/>
                          <w:sz w:val="21"/>
                          <w:szCs w:val="21"/>
                        </w:rPr>
                        <w:t xml:space="preserve">. </w:t>
                      </w:r>
                    </w:p>
                    <w:p w14:paraId="08C7DDE8" w14:textId="77777777" w:rsidR="003406CE" w:rsidRDefault="003406CE" w:rsidP="0022133C">
                      <w:pPr>
                        <w:jc w:val="center"/>
                      </w:pPr>
                      <w:r w:rsidRPr="0026472C">
                        <w:rPr>
                          <w:rFonts w:ascii="Century Gothic" w:hAnsi="Century Gothic"/>
                          <w:b/>
                          <w:sz w:val="21"/>
                          <w:szCs w:val="21"/>
                          <w:u w:val="single"/>
                        </w:rPr>
                        <w:t xml:space="preserve">Bez ohľadu na to máte právo kedykoľvek namietať proti spracúvaniu osobných údajov </w:t>
                      </w:r>
                      <w:r>
                        <w:rPr>
                          <w:rFonts w:ascii="Century Gothic" w:hAnsi="Century Gothic"/>
                          <w:b/>
                          <w:sz w:val="21"/>
                          <w:szCs w:val="21"/>
                          <w:u w:val="single"/>
                        </w:rPr>
                        <w:t xml:space="preserve">na základe oprávneného alebo verejného záujmu ako aj </w:t>
                      </w:r>
                      <w:r w:rsidRPr="0026472C">
                        <w:rPr>
                          <w:rFonts w:ascii="Century Gothic" w:hAnsi="Century Gothic"/>
                          <w:b/>
                          <w:sz w:val="21"/>
                          <w:szCs w:val="21"/>
                          <w:u w:val="single"/>
                        </w:rPr>
                        <w:t>na účely priameho marketingu vrátane profilovania</w:t>
                      </w:r>
                      <w:r w:rsidRPr="0026472C">
                        <w:rPr>
                          <w:rFonts w:ascii="Century Gothic" w:hAnsi="Century Gothic"/>
                          <w:b/>
                          <w:sz w:val="20"/>
                          <w:u w:val="single"/>
                        </w:rPr>
                        <w:t>.</w:t>
                      </w:r>
                    </w:p>
                  </w:txbxContent>
                </v:textbox>
                <w10:wrap anchorx="margin"/>
              </v:rect>
            </w:pict>
          </mc:Fallback>
        </mc:AlternateContent>
      </w:r>
    </w:p>
    <w:p w14:paraId="7455A44D" w14:textId="77777777" w:rsidR="003406CE" w:rsidRPr="009B5847" w:rsidRDefault="003406CE" w:rsidP="003406CE">
      <w:pPr>
        <w:jc w:val="both"/>
        <w:rPr>
          <w:rFonts w:ascii="Times New Roman" w:hAnsi="Times New Roman" w:cs="Times New Roman"/>
          <w:b/>
          <w:i/>
          <w:sz w:val="24"/>
          <w:szCs w:val="24"/>
        </w:rPr>
      </w:pPr>
    </w:p>
    <w:p w14:paraId="148D1FCA" w14:textId="77777777" w:rsidR="003406CE" w:rsidRPr="009B5847" w:rsidRDefault="003406CE" w:rsidP="003406CE">
      <w:pPr>
        <w:jc w:val="both"/>
        <w:rPr>
          <w:rFonts w:ascii="Times New Roman" w:hAnsi="Times New Roman" w:cs="Times New Roman"/>
          <w:sz w:val="24"/>
          <w:szCs w:val="24"/>
        </w:rPr>
      </w:pPr>
    </w:p>
    <w:p w14:paraId="0509435B" w14:textId="77777777" w:rsidR="003406CE" w:rsidRPr="009B5847" w:rsidRDefault="003406CE" w:rsidP="003406CE">
      <w:pPr>
        <w:jc w:val="both"/>
        <w:rPr>
          <w:rFonts w:ascii="Times New Roman" w:hAnsi="Times New Roman" w:cs="Times New Roman"/>
          <w:sz w:val="24"/>
          <w:szCs w:val="24"/>
        </w:rPr>
      </w:pPr>
    </w:p>
    <w:p w14:paraId="4F69ABA9" w14:textId="77777777" w:rsidR="003406CE" w:rsidRPr="009B5847" w:rsidRDefault="003406CE" w:rsidP="003406CE">
      <w:pPr>
        <w:jc w:val="both"/>
        <w:rPr>
          <w:rFonts w:ascii="Times New Roman" w:hAnsi="Times New Roman" w:cs="Times New Roman"/>
          <w:sz w:val="24"/>
          <w:szCs w:val="24"/>
        </w:rPr>
      </w:pPr>
    </w:p>
    <w:p w14:paraId="23EB55AD"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Ako klient máte právo považovať prístup k Vašim osobným údajom ako aj ich opravu. Ak spracúvame osobné údaje pri poskytovaní právnych služieb nemáte ako klient ani ako iná fyzická osoba (napr. protistrana) právo namietať proti takému spracúvaniu podľa článku 22 GDPR. Ak sa osobné údaje týkajú klienta (bez ohľadu na to, či je klient právnická alebo fyzická osoba), právo na prístup údajov ani právo na prenosnosť iné osoby nemajú z dôvodu našej zákonnej povinnosti zachovávať mlčanlivosť a poukazom na čl. 15 ods. 4 GDPR, 20 ods. 4 GDPR a § 18 ods. 8 Zákona o advokácii: </w:t>
      </w:r>
      <w:r w:rsidRPr="009B5847">
        <w:rPr>
          <w:rFonts w:ascii="Times New Roman" w:hAnsi="Times New Roman" w:cs="Times New Roman"/>
          <w:i/>
          <w:sz w:val="24"/>
          <w:szCs w:val="24"/>
        </w:rPr>
        <w:t xml:space="preserve">„Advokát nemá povinnosť poskytnúť informácie o spracúvaní osobných údajov, umožniť prístup alebo prenosnosť osobných údajov podľa osobitného predpisu, ak by to mohlo viesť k porušeniu povinnosti advokáta zachovávať mlčanlivosť podľa tohto zákona.“ </w:t>
      </w:r>
      <w:r w:rsidRPr="009B5847">
        <w:rPr>
          <w:rFonts w:ascii="Times New Roman" w:hAnsi="Times New Roman" w:cs="Times New Roman"/>
          <w:sz w:val="24"/>
          <w:szCs w:val="24"/>
        </w:rPr>
        <w:t xml:space="preserve">Takisto máte právo kedykoľvek podať sťažnosť Úradu na ochranu osobných údajov alebo Slovenskej advokátskej komore. </w:t>
      </w:r>
    </w:p>
    <w:p w14:paraId="16429B2D" w14:textId="77777777" w:rsidR="003406CE" w:rsidRPr="009B5847" w:rsidRDefault="003406CE" w:rsidP="003406CE">
      <w:pPr>
        <w:jc w:val="both"/>
        <w:rPr>
          <w:rFonts w:ascii="Times New Roman" w:hAnsi="Times New Roman" w:cs="Times New Roman"/>
          <w:b/>
          <w:i/>
          <w:sz w:val="24"/>
          <w:szCs w:val="24"/>
        </w:rPr>
      </w:pPr>
      <w:r w:rsidRPr="009B5847">
        <w:rPr>
          <w:rFonts w:ascii="Times New Roman" w:hAnsi="Times New Roman" w:cs="Times New Roman"/>
          <w:b/>
          <w:i/>
          <w:sz w:val="24"/>
          <w:szCs w:val="24"/>
        </w:rPr>
        <w:t xml:space="preserve">Zmeny podmienok ochrany súkromia </w:t>
      </w:r>
    </w:p>
    <w:p w14:paraId="1447D236" w14:textId="77777777" w:rsidR="003406CE" w:rsidRPr="009B5847" w:rsidRDefault="003406CE" w:rsidP="003406CE">
      <w:pPr>
        <w:jc w:val="both"/>
        <w:rPr>
          <w:rFonts w:ascii="Times New Roman" w:hAnsi="Times New Roman" w:cs="Times New Roman"/>
          <w:sz w:val="24"/>
          <w:szCs w:val="24"/>
        </w:rPr>
      </w:pPr>
      <w:r w:rsidRPr="009B5847">
        <w:rPr>
          <w:rFonts w:ascii="Times New Roman" w:hAnsi="Times New Roman" w:cs="Times New Roman"/>
          <w:sz w:val="24"/>
          <w:szCs w:val="24"/>
        </w:rPr>
        <w:t xml:space="preserve">Ochrana osobných údajov pre nás nie je jednorazovou záležitosťou. Informácie, ktoré sme Vám povinní vzhľadom na naše spracúvanie osobných údajov poskytnúť sa môžu meniť alebo prestať byť aktuálne. Z tohto dôvodu si vyhradzujeme možnosť kedykoľvek tieto podmienky upraviť a zmeniť v akomkoľvek rozsahu. V prípade, sa zmeníme tieto podmienky podstatným spôsobom, túto zmenu Vám dáme do pozornosti napr. všeobecným oznámením na tejto webstránke alebo osobitným oznámením prostredníctvom emailu. </w:t>
      </w:r>
    </w:p>
    <w:p w14:paraId="22581253" w14:textId="77777777" w:rsidR="0068039A" w:rsidRPr="009B5847" w:rsidRDefault="0068039A">
      <w:pPr>
        <w:rPr>
          <w:rFonts w:ascii="Times New Roman" w:hAnsi="Times New Roman" w:cs="Times New Roman"/>
          <w:sz w:val="24"/>
          <w:szCs w:val="24"/>
        </w:rPr>
      </w:pPr>
    </w:p>
    <w:sectPr w:rsidR="0068039A" w:rsidRPr="009B58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FC9B" w14:textId="77777777" w:rsidR="00AF1E06" w:rsidRDefault="00AF1E06" w:rsidP="003406CE">
      <w:pPr>
        <w:spacing w:after="0" w:line="240" w:lineRule="auto"/>
      </w:pPr>
      <w:r>
        <w:separator/>
      </w:r>
    </w:p>
  </w:endnote>
  <w:endnote w:type="continuationSeparator" w:id="0">
    <w:p w14:paraId="2BC80C25" w14:textId="77777777" w:rsidR="00AF1E06" w:rsidRDefault="00AF1E06" w:rsidP="0034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842E" w14:textId="77777777" w:rsidR="00AF1E06" w:rsidRDefault="00AF1E06" w:rsidP="003406CE">
      <w:pPr>
        <w:spacing w:after="0" w:line="240" w:lineRule="auto"/>
      </w:pPr>
      <w:r>
        <w:separator/>
      </w:r>
    </w:p>
  </w:footnote>
  <w:footnote w:type="continuationSeparator" w:id="0">
    <w:p w14:paraId="25F8D408" w14:textId="77777777" w:rsidR="00AF1E06" w:rsidRDefault="00AF1E06" w:rsidP="003406CE">
      <w:pPr>
        <w:spacing w:after="0" w:line="240" w:lineRule="auto"/>
      </w:pPr>
      <w:r>
        <w:continuationSeparator/>
      </w:r>
    </w:p>
  </w:footnote>
  <w:footnote w:id="1">
    <w:p w14:paraId="73C74942" w14:textId="77777777" w:rsidR="003406CE" w:rsidRPr="00AC44AA" w:rsidRDefault="003406CE" w:rsidP="003406CE">
      <w:pPr>
        <w:pStyle w:val="Textpoznpodarou"/>
        <w:jc w:val="both"/>
        <w:rPr>
          <w:rFonts w:ascii="Century Gothic" w:hAnsi="Century Gothic"/>
          <w:sz w:val="16"/>
          <w:szCs w:val="16"/>
        </w:rPr>
      </w:pPr>
      <w:r w:rsidRPr="00AC44AA">
        <w:rPr>
          <w:rStyle w:val="Znakapoznpodarou"/>
          <w:rFonts w:ascii="Century Gothic" w:hAnsi="Century Gothic"/>
          <w:sz w:val="16"/>
          <w:szCs w:val="16"/>
        </w:rPr>
        <w:footnoteRef/>
      </w:r>
      <w:r w:rsidRPr="00AC44AA">
        <w:rPr>
          <w:rFonts w:ascii="Century Gothic" w:hAnsi="Century Gothic"/>
          <w:sz w:val="16"/>
          <w:szCs w:val="16"/>
        </w:rPr>
        <w:t xml:space="preserve"> Viď čl. 12 až 22 GDPR: </w:t>
      </w:r>
      <w:hyperlink r:id="rId1" w:history="1">
        <w:r w:rsidRPr="00AC44AA">
          <w:rPr>
            <w:rStyle w:val="Hypertextovodkaz"/>
            <w:rFonts w:ascii="Century Gothic" w:hAnsi="Century Gothic"/>
            <w:sz w:val="16"/>
            <w:szCs w:val="16"/>
          </w:rPr>
          <w:t>http://eur-lex.europa.eu/legal-content/SK/TXT/HTML/?uri=CELEX:32016R0679&amp;from=EN</w:t>
        </w:r>
      </w:hyperlink>
      <w:r w:rsidRPr="00AC44AA">
        <w:rPr>
          <w:rFonts w:ascii="Century Gothic" w:hAnsi="Century Gothic"/>
          <w:sz w:val="16"/>
          <w:szCs w:val="16"/>
        </w:rPr>
        <w:t xml:space="preserve"> </w:t>
      </w:r>
    </w:p>
  </w:footnote>
  <w:footnote w:id="2">
    <w:p w14:paraId="3F525912" w14:textId="77777777" w:rsidR="003406CE" w:rsidRPr="00AC44AA" w:rsidRDefault="003406CE" w:rsidP="003406CE">
      <w:pPr>
        <w:pStyle w:val="Textpoznpodarou"/>
        <w:jc w:val="both"/>
        <w:rPr>
          <w:rFonts w:ascii="Century Gothic" w:hAnsi="Century Gothic"/>
          <w:sz w:val="16"/>
          <w:szCs w:val="16"/>
        </w:rPr>
      </w:pPr>
      <w:r w:rsidRPr="00AC44AA">
        <w:rPr>
          <w:rStyle w:val="Znakapoznpodarou"/>
          <w:rFonts w:ascii="Century Gothic" w:hAnsi="Century Gothic"/>
          <w:sz w:val="16"/>
          <w:szCs w:val="16"/>
        </w:rPr>
        <w:footnoteRef/>
      </w:r>
      <w:r w:rsidRPr="00AC44AA">
        <w:rPr>
          <w:rFonts w:ascii="Century Gothic" w:hAnsi="Century Gothic"/>
          <w:sz w:val="16"/>
          <w:szCs w:val="16"/>
        </w:rPr>
        <w:t xml:space="preserve"> Ktoré v zmysle čl. 4 ods. 9 GDPR nie sú považované za príjemcov.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F7034"/>
    <w:multiLevelType w:val="hybridMultilevel"/>
    <w:tmpl w:val="8C88B1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CB2162"/>
    <w:multiLevelType w:val="hybridMultilevel"/>
    <w:tmpl w:val="E1F4E0F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16cid:durableId="650603033">
    <w:abstractNumId w:val="2"/>
  </w:num>
  <w:num w:numId="2" w16cid:durableId="603924167">
    <w:abstractNumId w:val="0"/>
  </w:num>
  <w:num w:numId="3" w16cid:durableId="34406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6CE"/>
    <w:rsid w:val="000E678F"/>
    <w:rsid w:val="0018449D"/>
    <w:rsid w:val="001A3F9F"/>
    <w:rsid w:val="0022133C"/>
    <w:rsid w:val="00325CB6"/>
    <w:rsid w:val="003406CE"/>
    <w:rsid w:val="00470389"/>
    <w:rsid w:val="004E07E1"/>
    <w:rsid w:val="004F2B72"/>
    <w:rsid w:val="0068039A"/>
    <w:rsid w:val="00687985"/>
    <w:rsid w:val="00967720"/>
    <w:rsid w:val="00983F16"/>
    <w:rsid w:val="009B5847"/>
    <w:rsid w:val="00AF1E06"/>
    <w:rsid w:val="00C609E9"/>
    <w:rsid w:val="00E97952"/>
    <w:rsid w:val="00F17780"/>
    <w:rsid w:val="00FD28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A595"/>
  <w15:docId w15:val="{C238E6C7-A7EA-44B3-A620-C0D1A132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6C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06CE"/>
    <w:pPr>
      <w:ind w:left="720"/>
      <w:contextualSpacing/>
    </w:pPr>
  </w:style>
  <w:style w:type="table" w:styleId="Mkatabulky">
    <w:name w:val="Table Grid"/>
    <w:basedOn w:val="Normlntabulka"/>
    <w:uiPriority w:val="39"/>
    <w:rsid w:val="0034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406CE"/>
    <w:rPr>
      <w:color w:val="0563C1" w:themeColor="hyperlink"/>
      <w:u w:val="single"/>
    </w:rPr>
  </w:style>
  <w:style w:type="paragraph" w:styleId="Textpoznpodarou">
    <w:name w:val="footnote text"/>
    <w:basedOn w:val="Normln"/>
    <w:link w:val="TextpoznpodarouChar"/>
    <w:uiPriority w:val="99"/>
    <w:unhideWhenUsed/>
    <w:rsid w:val="003406C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06CE"/>
    <w:rPr>
      <w:sz w:val="20"/>
      <w:szCs w:val="20"/>
    </w:rPr>
  </w:style>
  <w:style w:type="character" w:styleId="Znakapoznpodarou">
    <w:name w:val="footnote reference"/>
    <w:basedOn w:val="Standardnpsmoodstavce"/>
    <w:uiPriority w:val="99"/>
    <w:semiHidden/>
    <w:unhideWhenUsed/>
    <w:rsid w:val="003406CE"/>
    <w:rPr>
      <w:vertAlign w:val="superscript"/>
    </w:rPr>
  </w:style>
  <w:style w:type="character" w:customStyle="1" w:styleId="Nevyeenzmnka1">
    <w:name w:val="Nevyřešená zmínka1"/>
    <w:basedOn w:val="Standardnpsmoodstavce"/>
    <w:uiPriority w:val="99"/>
    <w:semiHidden/>
    <w:unhideWhenUsed/>
    <w:rsid w:val="000E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K/TXT/HTML/?uri=CELEX:32016R0679&amp;from=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1361</Words>
  <Characters>7759</Characters>
  <Application>Microsoft Office Word</Application>
  <DocSecurity>0</DocSecurity>
  <Lines>64</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cablkova</dc:creator>
  <cp:lastModifiedBy>Jaroslava Cablková</cp:lastModifiedBy>
  <cp:revision>3</cp:revision>
  <dcterms:created xsi:type="dcterms:W3CDTF">2019-08-21T15:03:00Z</dcterms:created>
  <dcterms:modified xsi:type="dcterms:W3CDTF">2025-03-13T12:45:00Z</dcterms:modified>
</cp:coreProperties>
</file>